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BBD0B1">
      <w:pPr>
        <w:pStyle w:val="9"/>
        <w:spacing w:line="360" w:lineRule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山东济钢气体有限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公司</w:t>
      </w:r>
    </w:p>
    <w:p w14:paraId="128C44D5">
      <w:pPr>
        <w:pStyle w:val="9"/>
        <w:spacing w:line="360" w:lineRule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2025年夏季四防安全隐患整改项目询比价公告</w:t>
      </w:r>
    </w:p>
    <w:p w14:paraId="2A670F8F">
      <w:pPr>
        <w:pStyle w:val="9"/>
        <w:spacing w:line="360" w:lineRule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 w14:paraId="00E9E075">
      <w:pPr>
        <w:autoSpaceDE w:val="0"/>
        <w:autoSpaceDN w:val="0"/>
        <w:adjustRightInd w:val="0"/>
        <w:spacing w:after="0" w:line="4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年夏季四防安全隐患整改项目</w:t>
      </w:r>
    </w:p>
    <w:p w14:paraId="6AD14230">
      <w:pPr>
        <w:pStyle w:val="9"/>
        <w:spacing w:line="500" w:lineRule="exact"/>
        <w:jc w:val="both"/>
        <w:rPr>
          <w:rFonts w:hint="default" w:ascii="仿宋_GB2312" w:hAnsi="Calibri" w:eastAsia="仿宋_GB2312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Calibri" w:eastAsia="仿宋_GB2312" w:cs="宋体"/>
          <w:b w:val="0"/>
          <w:kern w:val="2"/>
          <w:sz w:val="32"/>
          <w:szCs w:val="32"/>
          <w:lang w:val="en-US" w:eastAsia="zh-CN" w:bidi="ar-SA"/>
        </w:rPr>
        <w:t>山东济钢气体有限公司院内</w:t>
      </w:r>
    </w:p>
    <w:p w14:paraId="13395703">
      <w:pPr>
        <w:spacing w:line="500" w:lineRule="exact"/>
        <w:jc w:val="left"/>
        <w:rPr>
          <w:rFonts w:hint="default" w:ascii="仿宋_GB2312" w:hAnsi="Calibri" w:eastAsia="仿宋_GB2312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施工范围：</w:t>
      </w:r>
      <w:r>
        <w:rPr>
          <w:rFonts w:hint="eastAsia" w:ascii="仿宋_GB2312" w:hAnsi="Calibri" w:eastAsia="仿宋_GB2312" w:cs="宋体"/>
          <w:b w:val="0"/>
          <w:kern w:val="2"/>
          <w:sz w:val="32"/>
          <w:szCs w:val="32"/>
          <w:lang w:val="en-US" w:eastAsia="zh-CN" w:bidi="ar-SA"/>
        </w:rPr>
        <w:t>详见工程量清单</w:t>
      </w:r>
    </w:p>
    <w:p w14:paraId="12A73133">
      <w:pPr>
        <w:spacing w:after="0" w:line="4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四、资格要求：</w:t>
      </w:r>
    </w:p>
    <w:p w14:paraId="60D5ECBD">
      <w:pPr>
        <w:spacing w:after="0" w:line="48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在中国境内注册并具有独立法人资格的合法企业单位。</w:t>
      </w:r>
    </w:p>
    <w:p w14:paraId="1682F230">
      <w:pPr>
        <w:spacing w:after="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资质要求：供应商需具有建筑工程施工总承包叁级及以上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资质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，具有建设行政主管部门颁发的有效安全生产许可证。</w:t>
      </w:r>
    </w:p>
    <w:p w14:paraId="34836EB6">
      <w:pPr>
        <w:spacing w:after="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.供应商在人员、设备、资金等方面具有相应的技术能力和良好的财务能力，具有良好的银行资信和商业信誉及健全的财务会计制度，没有处于被责令停业、资产被重组、接管、冻结及破产状态。</w:t>
      </w:r>
    </w:p>
    <w:p w14:paraId="14DCB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年1月1日至今，类似项目业绩至少1份（以合同签订时间为准）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3CF54F0">
      <w:pPr>
        <w:spacing w:after="0" w:line="480" w:lineRule="exact"/>
        <w:ind w:left="533" w:leftChars="254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.本项目不接受联合体投标。</w:t>
      </w:r>
    </w:p>
    <w:p w14:paraId="03F443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单位负责人为同一人或者存在控股、管理关系的不同单位，或同一母公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司的子公司，不能同时参加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 w14:paraId="75E8B9CC">
      <w:pPr>
        <w:spacing w:after="0"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7.发包人不统一组织踏勘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en-US"/>
        </w:rPr>
        <w:t>现场。</w:t>
      </w:r>
    </w:p>
    <w:p w14:paraId="63D90DDA"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报价及结算：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（单位：元）</w:t>
      </w:r>
    </w:p>
    <w:p w14:paraId="4004E88C"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415323"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159137"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DB5589"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942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971"/>
        <w:gridCol w:w="1567"/>
        <w:gridCol w:w="1230"/>
        <w:gridCol w:w="1230"/>
        <w:gridCol w:w="1230"/>
      </w:tblGrid>
      <w:tr w14:paraId="3EB5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4" w:type="dxa"/>
            <w:tcBorders>
              <w:tl2br w:val="nil"/>
              <w:tr2bl w:val="nil"/>
            </w:tcBorders>
            <w:noWrap/>
            <w:vAlign w:val="center"/>
          </w:tcPr>
          <w:p w14:paraId="31BB771E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noWrap/>
            <w:vAlign w:val="center"/>
          </w:tcPr>
          <w:p w14:paraId="042FEE7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/>
            <w:vAlign w:val="center"/>
          </w:tcPr>
          <w:p w14:paraId="16703426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>数量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04527DEB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>单价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7D344605">
            <w:pPr>
              <w:widowControl/>
              <w:jc w:val="center"/>
              <w:rPr>
                <w:rFonts w:hint="default" w:ascii="等线" w:hAnsi="宋体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>总价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5DA6B305">
            <w:pPr>
              <w:widowControl/>
              <w:jc w:val="center"/>
              <w:rPr>
                <w:rFonts w:hint="default" w:ascii="等线" w:hAnsi="宋体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3CB5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14" w:type="dxa"/>
            <w:tcBorders>
              <w:tl2br w:val="nil"/>
              <w:tr2bl w:val="nil"/>
            </w:tcBorders>
            <w:noWrap/>
            <w:vAlign w:val="center"/>
          </w:tcPr>
          <w:p w14:paraId="246703F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noWrap/>
            <w:vAlign w:val="center"/>
          </w:tcPr>
          <w:p w14:paraId="35A1C9BF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主厂房房顶铁皮损坏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605F7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  <w:t>更换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5米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74132AD5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412994CF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502C2A40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 w14:paraId="3F19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4" w:type="dxa"/>
            <w:tcBorders>
              <w:tl2br w:val="nil"/>
              <w:tr2bl w:val="nil"/>
            </w:tcBorders>
            <w:noWrap/>
            <w:vAlign w:val="center"/>
          </w:tcPr>
          <w:p w14:paraId="79B1C4D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noWrap/>
            <w:vAlign w:val="center"/>
          </w:tcPr>
          <w:p w14:paraId="3346ACF6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主厂房2#空压机南侧2层窗户玻璃损坏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B6182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  <w:t>更换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 xml:space="preserve">1.5 m2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54AB1A8E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384211BC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53A2A7E2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 w14:paraId="6915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4" w:type="dxa"/>
            <w:tcBorders>
              <w:tl2br w:val="nil"/>
              <w:tr2bl w:val="nil"/>
            </w:tcBorders>
            <w:noWrap/>
            <w:vAlign w:val="center"/>
          </w:tcPr>
          <w:p w14:paraId="6FF470C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noWrap/>
            <w:vAlign w:val="center"/>
          </w:tcPr>
          <w:p w14:paraId="05014D84">
            <w:pPr>
              <w:widowControl/>
              <w:jc w:val="left"/>
              <w:rPr>
                <w:rFonts w:hint="default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稀有气体原料液泵遮雨顶棚（西侧)小面积腐烂脱落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75C1F">
            <w:pPr>
              <w:widowControl/>
              <w:jc w:val="left"/>
              <w:rPr>
                <w:rFonts w:hint="default"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  <w:t>更换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10m2　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37B6738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46EDFED7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7DDE490E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 w14:paraId="1D38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4" w:type="dxa"/>
            <w:tcBorders>
              <w:tl2br w:val="nil"/>
              <w:tr2bl w:val="nil"/>
            </w:tcBorders>
            <w:noWrap/>
            <w:vAlign w:val="center"/>
          </w:tcPr>
          <w:p w14:paraId="14B844AA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noWrap/>
            <w:vAlign w:val="center"/>
          </w:tcPr>
          <w:p w14:paraId="780F8181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排水设施损坏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C0A8D">
            <w:pPr>
              <w:widowControl/>
              <w:jc w:val="left"/>
              <w:rPr>
                <w:rFonts w:hint="default"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水泵（3KW）1台；3*2.5防水电缆130米；40PE水管120米；不锈钢钢丝绳110米；变频器1台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  <w:t>采购及安装。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595DF3A6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08820A10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34B737EE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 w14:paraId="75CE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4" w:type="dxa"/>
            <w:tcBorders>
              <w:tl2br w:val="nil"/>
              <w:tr2bl w:val="nil"/>
            </w:tcBorders>
            <w:noWrap/>
            <w:vAlign w:val="center"/>
          </w:tcPr>
          <w:p w14:paraId="39182C70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noWrap/>
            <w:vAlign w:val="center"/>
          </w:tcPr>
          <w:p w14:paraId="67C514A9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循环水池回水管道表面锈蚀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08675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DN300、40米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  <w:t>防腐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7380D0A2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1206D959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79CD3DFA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 w14:paraId="431B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4" w:type="dxa"/>
            <w:tcBorders>
              <w:tl2br w:val="nil"/>
              <w:tr2bl w:val="nil"/>
            </w:tcBorders>
            <w:noWrap/>
            <w:vAlign w:val="center"/>
          </w:tcPr>
          <w:p w14:paraId="55DCBB5E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noWrap/>
            <w:vAlign w:val="center"/>
          </w:tcPr>
          <w:p w14:paraId="1EA4DF2C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稀有气体厂房北防火门损坏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446D9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  <w:t>更换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1件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28F5DFED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0B3804D1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0AFC6742"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 w14:paraId="7E1C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4" w:type="dxa"/>
            <w:tcBorders>
              <w:tl2br w:val="nil"/>
              <w:tr2bl w:val="nil"/>
            </w:tcBorders>
            <w:noWrap/>
            <w:vAlign w:val="center"/>
          </w:tcPr>
          <w:p w14:paraId="2AD17A35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noWrap/>
            <w:vAlign w:val="center"/>
          </w:tcPr>
          <w:p w14:paraId="7C54EEF8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主厂房房顶避雷带损坏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4531A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  <w:t>更换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15米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60A7831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358119FE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 w14:paraId="58B7C8A6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806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4" w:type="dxa"/>
            <w:tcBorders>
              <w:tl2br w:val="nil"/>
              <w:tr2bl w:val="nil"/>
            </w:tcBorders>
            <w:noWrap/>
            <w:vAlign w:val="center"/>
          </w:tcPr>
          <w:p w14:paraId="09E7B286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>合计</w:t>
            </w:r>
          </w:p>
        </w:tc>
        <w:tc>
          <w:tcPr>
            <w:tcW w:w="8228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5D4F6D43">
            <w:pPr>
              <w:widowControl/>
              <w:ind w:firstLine="6600" w:firstLineChars="3000"/>
              <w:jc w:val="both"/>
              <w:rPr>
                <w:rFonts w:hint="default" w:ascii="等线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lang w:val="en-US" w:eastAsia="zh-CN"/>
              </w:rPr>
              <w:t>含税（     ）</w:t>
            </w:r>
          </w:p>
        </w:tc>
      </w:tr>
      <w:tr w14:paraId="4A7D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2" w:type="dxa"/>
            <w:gridSpan w:val="6"/>
          </w:tcPr>
          <w:p w14:paraId="604BB2DE">
            <w:pPr>
              <w:pStyle w:val="11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工期：15日历天。</w:t>
            </w:r>
          </w:p>
        </w:tc>
      </w:tr>
      <w:tr w14:paraId="6D82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942" w:type="dxa"/>
            <w:gridSpan w:val="6"/>
          </w:tcPr>
          <w:p w14:paraId="1480BF67">
            <w:pPr>
              <w:pStyle w:val="11"/>
              <w:rPr>
                <w:rFonts w:hint="eastAsia"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付款方式：维修完毕验收合格后开具发票，招标人收到发票后30日内付款，方式：银行电汇或承兑汇票。</w:t>
            </w:r>
          </w:p>
        </w:tc>
      </w:tr>
      <w:tr w14:paraId="660E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942" w:type="dxa"/>
            <w:gridSpan w:val="6"/>
          </w:tcPr>
          <w:p w14:paraId="34E37311">
            <w:pPr>
              <w:pStyle w:val="11"/>
              <w:rPr>
                <w:rFonts w:hint="eastAsia"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公司名称：（此处盖章）</w:t>
            </w:r>
          </w:p>
        </w:tc>
      </w:tr>
      <w:tr w14:paraId="79B0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2" w:type="dxa"/>
            <w:gridSpan w:val="6"/>
          </w:tcPr>
          <w:p w14:paraId="4ACF16B7">
            <w:pPr>
              <w:pStyle w:val="11"/>
              <w:rPr>
                <w:rFonts w:hint="eastAsia"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日期：    年  月   日</w:t>
            </w:r>
          </w:p>
        </w:tc>
      </w:tr>
    </w:tbl>
    <w:p w14:paraId="76EBDF29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6109EF49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、公告和报名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</w:t>
      </w:r>
    </w:p>
    <w:p w14:paraId="1CEB01E2">
      <w:pPr>
        <w:autoSpaceDE w:val="0"/>
        <w:autoSpaceDN w:val="0"/>
        <w:adjustRightInd w:val="0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1、报名方式：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线上报名方式。</w:t>
      </w:r>
      <w:r>
        <w:rPr>
          <w:rFonts w:hint="eastAsia" w:ascii="仿宋_GB2312" w:hAnsi="宋体" w:eastAsia="仿宋_GB2312" w:cs="Arial Unicode MS"/>
          <w:kern w:val="0"/>
          <w:sz w:val="32"/>
          <w:szCs w:val="32"/>
          <w:lang w:val="zh-CN"/>
        </w:rPr>
        <w:t>通过登录济钢集团阳光购销平台网上报名，系统网址：bidding.jigang.com.cn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 </w:t>
      </w:r>
    </w:p>
    <w:p w14:paraId="70EAB91B">
      <w:pPr>
        <w:spacing w:line="500" w:lineRule="exact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2、公告和报名时间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</w:rPr>
        <w:t>：202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（北京时间）。 </w:t>
      </w:r>
    </w:p>
    <w:p w14:paraId="6BA115DA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文件的递交：</w:t>
      </w:r>
    </w:p>
    <w:p w14:paraId="5827F754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 w:eastAsia="zh-CN"/>
        </w:rPr>
        <w:t>1、响应文件于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 w:eastAsia="zh-CN"/>
        </w:rPr>
        <w:t>截止时间前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递交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 w:eastAsia="zh-CN"/>
        </w:rPr>
        <w:t>。递交的截止时间为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分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。</w:t>
      </w:r>
    </w:p>
    <w:p w14:paraId="5FDE318C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 w:eastAsia="zh-CN"/>
        </w:rPr>
        <w:t>2、逾期送达的、未送达指定地点的或者不按照要求密封的响应文件，招标人将予以拒收。</w:t>
      </w:r>
    </w:p>
    <w:p w14:paraId="53218D15">
      <w:pPr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</w:rPr>
        <w:t>报价时需同时提交以下资料：法定代表人授权书、营业执照副本，企业简介、业绩证明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等，</w:t>
      </w:r>
      <w:r>
        <w:rPr>
          <w:rFonts w:hint="eastAsia" w:ascii="仿宋_GB2312" w:hAnsi="仿宋_GB2312" w:eastAsia="仿宋_GB2312" w:cs="仿宋_GB2312"/>
          <w:sz w:val="30"/>
          <w:szCs w:val="30"/>
        </w:rPr>
        <w:t>上述材料复印件应加盖单位公章。</w:t>
      </w:r>
    </w:p>
    <w:p w14:paraId="0E682EE9">
      <w:pPr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、报价单密封盖章，邮寄或送至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临沂市兰陵县鲁城镇山东济钢气体有限公司 ，何双增</w:t>
      </w:r>
      <w:r>
        <w:rPr>
          <w:rFonts w:hint="eastAsia" w:ascii="仿宋_GB2312" w:hAnsi="仿宋_GB2312" w:eastAsia="仿宋_GB2312" w:cs="仿宋_GB2312"/>
          <w:sz w:val="30"/>
          <w:szCs w:val="30"/>
        </w:rPr>
        <w:t>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15666965290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798EBC46">
      <w:pPr>
        <w:spacing w:line="500" w:lineRule="exact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 w14:paraId="1C904206">
      <w:pPr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0"/>
          <w:szCs w:val="30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分</w:t>
      </w:r>
      <w:bookmarkStart w:id="0" w:name="_GoBack"/>
      <w:bookmarkEnd w:id="0"/>
    </w:p>
    <w:p w14:paraId="34E1EFC9">
      <w:pPr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评标</w:t>
      </w:r>
      <w:r>
        <w:rPr>
          <w:rFonts w:hint="eastAsia" w:ascii="仿宋_GB2312" w:hAnsi="仿宋_GB2312" w:eastAsia="仿宋_GB2312" w:cs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山东济钢气体有限公司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办公楼二楼会议室。</w:t>
      </w:r>
    </w:p>
    <w:p w14:paraId="3D79159B">
      <w:pPr>
        <w:spacing w:line="500" w:lineRule="exact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、其他：</w:t>
      </w:r>
    </w:p>
    <w:p w14:paraId="56963341">
      <w:pPr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报名及投标人员在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山东济钢气体有限公司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的一切活动必须遵守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气体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公司的安全规定。现场技术交底及现场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z w:val="30"/>
          <w:szCs w:val="30"/>
        </w:rPr>
        <w:t>必须遵守现场安全管理规定，服从现场指挥。</w:t>
      </w:r>
    </w:p>
    <w:p w14:paraId="65731ED4">
      <w:pPr>
        <w:spacing w:line="5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52E3EBB4"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 w14:paraId="54157F99">
      <w:pPr>
        <w:spacing w:line="360" w:lineRule="auto"/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山东济钢气体有限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</w:t>
      </w:r>
    </w:p>
    <w:p w14:paraId="3CC98E6D">
      <w:pPr>
        <w:spacing w:line="360" w:lineRule="auto"/>
        <w:ind w:firstLine="4500" w:firstLineChars="1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年5月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</w:t>
      </w:r>
    </w:p>
    <w:p w14:paraId="7E9E7572"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</w:t>
      </w:r>
    </w:p>
    <w:sectPr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09167F-AD58-4CCD-B16D-A6D95EA5E1B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3DD4257-1104-4E6D-8374-BB5A8816A3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BF82B8-4C42-44F9-BC94-55232986B22C}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  <w:embedRegular r:id="rId4" w:fontKey="{9DB3B7CF-5919-4630-BDD9-EFAD19039EB9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5" w:fontKey="{BE8EDC22-62F4-4D22-ACDF-94A70CBB2F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JmZDY4NjRjNDFmYjYwNDkwZDdkYjE2ODNlOGUifQ=="/>
  </w:docVars>
  <w:rsids>
    <w:rsidRoot w:val="00172A27"/>
    <w:rsid w:val="00033CAA"/>
    <w:rsid w:val="00050F06"/>
    <w:rsid w:val="00053474"/>
    <w:rsid w:val="00085E04"/>
    <w:rsid w:val="000A004F"/>
    <w:rsid w:val="000A4124"/>
    <w:rsid w:val="00112A47"/>
    <w:rsid w:val="00145A0B"/>
    <w:rsid w:val="00152A35"/>
    <w:rsid w:val="0016324B"/>
    <w:rsid w:val="001657D8"/>
    <w:rsid w:val="00172A27"/>
    <w:rsid w:val="001A057A"/>
    <w:rsid w:val="001C2707"/>
    <w:rsid w:val="001F6857"/>
    <w:rsid w:val="002204C0"/>
    <w:rsid w:val="00243CA1"/>
    <w:rsid w:val="002B3564"/>
    <w:rsid w:val="002C458E"/>
    <w:rsid w:val="003013E2"/>
    <w:rsid w:val="00301C87"/>
    <w:rsid w:val="003D2E6C"/>
    <w:rsid w:val="00441DF2"/>
    <w:rsid w:val="004862ED"/>
    <w:rsid w:val="005151F9"/>
    <w:rsid w:val="0066749A"/>
    <w:rsid w:val="00692C3E"/>
    <w:rsid w:val="006E3E40"/>
    <w:rsid w:val="006F0EC1"/>
    <w:rsid w:val="007275B6"/>
    <w:rsid w:val="007B1B2A"/>
    <w:rsid w:val="008B58D7"/>
    <w:rsid w:val="008D211E"/>
    <w:rsid w:val="0091197C"/>
    <w:rsid w:val="00A41F86"/>
    <w:rsid w:val="00B142F3"/>
    <w:rsid w:val="00B428A2"/>
    <w:rsid w:val="00BD5603"/>
    <w:rsid w:val="00C22C37"/>
    <w:rsid w:val="00C606F3"/>
    <w:rsid w:val="00C72817"/>
    <w:rsid w:val="00C955C6"/>
    <w:rsid w:val="00D142E4"/>
    <w:rsid w:val="00D54571"/>
    <w:rsid w:val="00D56465"/>
    <w:rsid w:val="00D9692D"/>
    <w:rsid w:val="00DB5A9C"/>
    <w:rsid w:val="00DF4782"/>
    <w:rsid w:val="00E1000F"/>
    <w:rsid w:val="00E271CA"/>
    <w:rsid w:val="00E30379"/>
    <w:rsid w:val="00E421C5"/>
    <w:rsid w:val="00E6707D"/>
    <w:rsid w:val="00E851CA"/>
    <w:rsid w:val="00EC494A"/>
    <w:rsid w:val="00EE5659"/>
    <w:rsid w:val="00EF6B1B"/>
    <w:rsid w:val="00EF7CC7"/>
    <w:rsid w:val="00F24300"/>
    <w:rsid w:val="01906A8C"/>
    <w:rsid w:val="03730DB3"/>
    <w:rsid w:val="0B845119"/>
    <w:rsid w:val="0C975215"/>
    <w:rsid w:val="0D974428"/>
    <w:rsid w:val="105F0895"/>
    <w:rsid w:val="1147614D"/>
    <w:rsid w:val="11C35284"/>
    <w:rsid w:val="12357256"/>
    <w:rsid w:val="12A00CDD"/>
    <w:rsid w:val="13651CF4"/>
    <w:rsid w:val="154B5782"/>
    <w:rsid w:val="16BF21A1"/>
    <w:rsid w:val="185F2EB6"/>
    <w:rsid w:val="1DBF29B8"/>
    <w:rsid w:val="22AF53AC"/>
    <w:rsid w:val="23D56715"/>
    <w:rsid w:val="26D05E0D"/>
    <w:rsid w:val="27C46E1D"/>
    <w:rsid w:val="27EF243F"/>
    <w:rsid w:val="28A50DE6"/>
    <w:rsid w:val="2A2C4E72"/>
    <w:rsid w:val="2DB57994"/>
    <w:rsid w:val="30212B9E"/>
    <w:rsid w:val="33760006"/>
    <w:rsid w:val="33E1270B"/>
    <w:rsid w:val="33F725A8"/>
    <w:rsid w:val="35D778EF"/>
    <w:rsid w:val="385E1745"/>
    <w:rsid w:val="3AA640B0"/>
    <w:rsid w:val="3AB64605"/>
    <w:rsid w:val="435E7930"/>
    <w:rsid w:val="4A3776BC"/>
    <w:rsid w:val="4A8A1AB6"/>
    <w:rsid w:val="4B8F7908"/>
    <w:rsid w:val="4BCD1EA7"/>
    <w:rsid w:val="4BCE7437"/>
    <w:rsid w:val="4BEE7CE8"/>
    <w:rsid w:val="4E6264BD"/>
    <w:rsid w:val="504639A3"/>
    <w:rsid w:val="506E3AE9"/>
    <w:rsid w:val="50E576CB"/>
    <w:rsid w:val="55F511F6"/>
    <w:rsid w:val="565E627F"/>
    <w:rsid w:val="584D686D"/>
    <w:rsid w:val="5C7207AE"/>
    <w:rsid w:val="5D7140DA"/>
    <w:rsid w:val="5F067F0C"/>
    <w:rsid w:val="60BF550A"/>
    <w:rsid w:val="63585BB2"/>
    <w:rsid w:val="650E0E71"/>
    <w:rsid w:val="66772A46"/>
    <w:rsid w:val="67F60707"/>
    <w:rsid w:val="6868563A"/>
    <w:rsid w:val="6A711354"/>
    <w:rsid w:val="6A8E6B59"/>
    <w:rsid w:val="6D3072C9"/>
    <w:rsid w:val="6D6E32A4"/>
    <w:rsid w:val="70D8413A"/>
    <w:rsid w:val="742472D5"/>
    <w:rsid w:val="79146320"/>
    <w:rsid w:val="7B4D157D"/>
    <w:rsid w:val="7BC96F03"/>
    <w:rsid w:val="7D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customStyle="1" w:styleId="8">
    <w:name w:val="样式 样式 样式 样式 小四 左 首行缩进:  2 字符 + 首行缩进:  2 字符 Char + 右  0 字符1 + 首行缩...3"/>
    <w:basedOn w:val="1"/>
    <w:autoRedefine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Calibri" w:hAnsi="Calibri" w:cs="宋体"/>
      <w:sz w:val="24"/>
      <w:szCs w:val="20"/>
    </w:rPr>
  </w:style>
  <w:style w:type="paragraph" w:customStyle="1" w:styleId="9">
    <w:name w:val="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30"/>
      <w:szCs w:val="30"/>
    </w:rPr>
  </w:style>
  <w:style w:type="paragraph" w:customStyle="1" w:styleId="10">
    <w:name w:val="二级"/>
    <w:basedOn w:val="1"/>
    <w:autoRedefine/>
    <w:qFormat/>
    <w:uiPriority w:val="0"/>
    <w:pPr>
      <w:tabs>
        <w:tab w:val="left" w:pos="851"/>
      </w:tabs>
      <w:spacing w:after="80" w:line="360" w:lineRule="auto"/>
      <w:ind w:left="851" w:hanging="851"/>
      <w:jc w:val="center"/>
      <w:outlineLvl w:val="3"/>
    </w:pPr>
    <w:rPr>
      <w:rFonts w:ascii="宋体" w:hAnsi="宋体"/>
      <w:b/>
      <w:sz w:val="28"/>
      <w:szCs w:val="28"/>
    </w:rPr>
  </w:style>
  <w:style w:type="paragraph" w:styleId="1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1026</Words>
  <Characters>1126</Characters>
  <Lines>7</Lines>
  <Paragraphs>2</Paragraphs>
  <TotalTime>2</TotalTime>
  <ScaleCrop>false</ScaleCrop>
  <LinksUpToDate>false</LinksUpToDate>
  <CharactersWithSpaces>1206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2021-03-11T02:21:00Z</dcterms:created>
  <dc:creator>郭庆斌</dc:creator>
  <cp:lastModifiedBy>何双增</cp:lastModifiedBy>
  <dcterms:modified xsi:type="dcterms:W3CDTF">2025-05-23T02:12:55Z</dcterms:modified>
  <dc:title>招标公告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A4AA01ABE6604A59A3E946245E3C1D31_13</vt:lpwstr>
  </property>
  <property fmtid="{D5CDD505-2E9C-101B-9397-08002B2CF9AE}" pid="4" name="KSOTemplateDocerSaveRecord">
    <vt:lpwstr>eyJoZGlkIjoiNDE2NDg4OTJkMTk2YTgxM2RhZmFhNTM0NzRiNmE0YjEiLCJ1c2VySWQiOiIzNzEwMjYzNzMifQ==</vt:lpwstr>
  </property>
</Properties>
</file>